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010f426d954fc0" /></Relationships>
</file>

<file path=word/document.xml><?xml version="1.0" encoding="utf-8"?>
<w:document xmlns:w="http://schemas.openxmlformats.org/wordprocessingml/2006/main">
  <w:body>
    <w:sectPr>
      <w:footerReference xmlns:r="http://schemas.openxmlformats.org/officeDocument/2006/relationships" w:type="first" r:id="r97"/>
      <w:footerReference xmlns:r="http://schemas.openxmlformats.org/officeDocument/2006/relationships" w:type="default" r:id="r98"/>
      <w:type w:val="nextPage"/>
      <w:titlePg/>
      <w:pgNumType w:start="0"/>
      <w:pgMar w:top="1152" w:right="1152" w:bottom="1152" w:left="1152"/>
      <w:p>
        <w:pPr>
          <w:spacing w:line="240"/>
          <w:jc w:val="center"/>
        </w:pPr>
        <w:r>
          <w:rPr>
            <w:b/>
            <w:sz w:val="28"/>
            <w:rFonts w:ascii="Calibri" w:hAnsi="Calibri" w:cs="Calibri"/>
          </w:rPr>
          <w:br/>
          <w:br/>
          <w:br/>
          <w:br/>
          <w:br/>
          <w:br/>
          <w:br/>
          <w:br/>
          <w:br/>
          <w:br/>
          <w:br/>
          <w:br/>
          <w:br/>
          <w:br/>
          <w:t xml:space="preserve">OBRAZLOŽENJE IZMJENA I DOPUNA FINANCIJSKOG PLANA CENTRA ZA RESTRUKTURIRANJE I PRODAJU ZA  2023. GODINU I PROJEKCIJA PLANA ZA 2024. I 2025. GODINU</w:t>
          <w:br w:type="page"/>
        </w:r>
      </w:p>
      <w:p>
        <w:pPr>
          <w:spacing w:line="240"/>
          <w:jc w:val="left"/>
        </w:pPr>
        <w:r>
          <w:rPr>
            <w:b/>
            <w:u w:val="single"/>
            <w:sz w:val="22"/>
            <w:rFonts w:ascii="Calibri" w:hAnsi="Calibri" w:cs="Calibri"/>
          </w:rPr>
          <w:br/>
          <w:t xml:space="preserve">UVOD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Izmjene i dopune financijskog plana Centra za
restrukturiranje i prodaju (dalje u tekstu: CERP) za 2023. godinu predlažu se
zbog stvarno ostvarenih rezultata poslovanja CERP-a u prvih osam mjeseci 2023.
godine kao i očekivanih promjena u odnosu na planirane iznose.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Slijedom
naprijed navedenog, predložena su određena povećanja prihoda i rashoda te
primitaka i to kako slijedi:</w:t>
        </w:r>
      </w:p>
      <w:p>
        <w:pPr>
          <w:spacing w:line="240"/>
          <w:jc w:val="left"/>
        </w:pPr>
        <w:r>
          <w:rPr>
            <w:b/>
            <w:u w:val="single"/>
            <w:sz w:val="22"/>
            <w:rFonts w:ascii="Calibri" w:hAnsi="Calibri" w:cs="Calibri"/>
          </w:rPr>
          <w:br/>
          <w:t xml:space="preserve">PRIHODI</w:t>
        </w:r>
      </w:p>
      <w:tbl>
        <w:tblPr>
          <w:tblW w:w="4850" w:type="pct"/>
          <w:tblBorders>
            <w:top w:val="single" w:sz="5"/>
            <w:bottom w:val="single" w:sz="5"/>
            <w:left w:val="single" w:sz="5"/>
            <w:right w:val="single" w:sz="5"/>
            <w:insideH w:val="single" w:sz="5"/>
            <w:insideV w:val="single" w:sz="5"/>
          </w:tblBorders>
          <w:tblCellMar>
            <w:top w:w="0" w:type="dxa"/>
            <w:start w:w="100" w:type="dxa"/>
            <w:bottom w:w="0" w:type="dxa"/>
            <w:end w:w="100" w:type="dxa"/>
          </w:tblCellMar>
        </w:tblPr>
        <w:tr>
          <w:tc>
            <w:tcPr>
              <w:tcW w:w="20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/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Plan za 2023.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Povećanje/</w:t>
                <w:br/>
                <w:t>Smanjenje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Novi plan za</w:t>
                <w:br/>
                <w:t>2023.</w:t>
              </w:r>
            </w:p>
          </w:tc>
          <w:tc>
            <w:tcPr>
              <w:tcW w:w="4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Indeks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PRIHODI POSLOVANJA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5.592.375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1.000.000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6.592.375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117,9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PRIHODI OD PRODAJE NEFINANCIJSKE IMOVINE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79.600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79.600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100,0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b/>
                  <w:sz w:val="18"/>
                  <w:rFonts w:ascii="Calibri" w:hAnsi="Calibri" w:cs="Calibri"/>
                </w:rPr>
                <w:t>UKUPNI PRIHODI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5.671.975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1.000.000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6.671.975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117,6</w:t>
              </w:r>
            </w:p>
          </w:tc>
        </w:tr>
      </w:tbl>
      <w:p>
        <w:pPr>
          <w:spacing w:after="0" w:line="240"/>
        </w:pP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PRIHODI
POSLOVANJA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 za 2023. godinu planirao prihode poslovanja u
iznosu od 5.592.375,00 eura te se predlaže povećanje planiranih prihoda poslovanja
kako slijedi: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sz w:val="22"/>
          </w:rPr>
          <w:t xml:space="preserve">Prihodi od financijske imovine </w:t>
        </w:r>
        <w:r>
          <w:rPr>
            <w:rFonts w:ascii="Calibri" w:hAnsi="Calibri" w:cs="Calibri"/>
            <w:sz w:val="22"/>
          </w:rPr>
          <w:t xml:space="preserve">povećavaju se za iznos od 1.000.000,00
eura na stavci Prihodi od dividendi iz razloga što je CERP u prvih osam mjeseci
2023. godine naplatio veći iznos od dividendi društava u vlasništvu CERP-a od planiranog.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 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PRIHODI OD
PRODAJE NEFINANCIJSKE IMOVINE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
za 2023. godinu planirao prihode od prodaje nefinancijske imovine u iznosu od 79.600,00
eura te se ne predlaže izmjena planiranog iznosa ni preraspodjela.</w:t>
        </w:r>
      </w:p>
      <w:p>
        <w:pPr>
          <w:spacing w:line="240"/>
          <w:jc w:val="left"/>
        </w:pPr>
        <w:r>
          <w:rPr>
            <w:b/>
            <w:u w:val="single"/>
            <w:sz w:val="22"/>
            <w:rFonts w:ascii="Calibri" w:hAnsi="Calibri" w:cs="Calibri"/>
          </w:rPr>
          <w:br/>
          <w:t xml:space="preserve">RASHODI</w:t>
        </w:r>
      </w:p>
      <w:tbl>
        <w:tblPr>
          <w:tblW w:w="4850" w:type="pct"/>
          <w:tblBorders>
            <w:top w:val="single" w:sz="5"/>
            <w:bottom w:val="single" w:sz="5"/>
            <w:left w:val="single" w:sz="5"/>
            <w:right w:val="single" w:sz="5"/>
            <w:insideH w:val="single" w:sz="5"/>
            <w:insideV w:val="single" w:sz="5"/>
          </w:tblBorders>
          <w:tblCellMar>
            <w:top w:w="0" w:type="dxa"/>
            <w:start w:w="100" w:type="dxa"/>
            <w:bottom w:w="0" w:type="dxa"/>
            <w:end w:w="100" w:type="dxa"/>
          </w:tblCellMar>
        </w:tblPr>
        <w:tr>
          <w:tc>
            <w:tcPr>
              <w:tcW w:w="20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/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Plan za 2023.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Povećanje/</w:t>
                <w:br/>
                <w:t>Smanjenje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Novi plan za</w:t>
                <w:br/>
                <w:t>2023.</w:t>
              </w:r>
            </w:p>
          </w:tc>
          <w:tc>
            <w:tcPr>
              <w:tcW w:w="4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Indeks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RASHODI POSLOVANJA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8.360.875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49.000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8.409.875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100,6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RASHODI ZA NABAVU NEFINANCIJSKE IMOVINE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216.400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216.400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100,0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b/>
                  <w:sz w:val="18"/>
                  <w:rFonts w:ascii="Calibri" w:hAnsi="Calibri" w:cs="Calibri"/>
                </w:rPr>
                <w:t>UKUPNI RASHODI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8.577.275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49.000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8.626.275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100,6</w:t>
              </w:r>
            </w:p>
          </w:tc>
        </w:tr>
      </w:tbl>
      <w:p>
        <w:pPr>
          <w:spacing w:after="0" w:line="240"/>
        </w:pP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RASHODI
POSLOVANJA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 za 2023. godinu planirao rashode poslovanja u iznosu
od 8.360.875,00 eura te se predlaže povećanje planiranih rashoda poslovanja
kako slijedi: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sz w:val="22"/>
          </w:rPr>
          <w:t xml:space="preserve">Naknade troškova zaposlenima </w:t>
        </w:r>
        <w:r>
          <w:rPr>
            <w:rFonts w:ascii="Calibri" w:hAnsi="Calibri" w:cs="Calibri"/>
            <w:sz w:val="22"/>
          </w:rPr>
          <w:t xml:space="preserve">povećavaju
se za iznos od 2.000,00 eura na stavci Ostale naknade troškova zaposlenima </w:t>
        </w:r>
        <w:r>
          <w:rPr>
            <w:rFonts w:ascii="Calibri" w:hAnsi="Calibri" w:cs="Calibri"/>
            <w:color w:val="000000"/>
            <w:sz w:val="22"/>
          </w:rPr>
          <w:t xml:space="preserve">iz razloga što je CERP </w:t>
        </w:r>
        <w:r>
          <w:rPr>
            <w:rFonts w:ascii="Calibri" w:hAnsi="Calibri" w:cs="Calibri"/>
            <w:sz w:val="22"/>
          </w:rPr>
          <w:t xml:space="preserve">u prvih osam mjeseci 2023.
godine imao veće rashode za korištenje privatnog automobila u službene svrhe od
planiranog</w:t>
        </w:r>
        <w:r>
          <w:rPr>
            <w:rFonts w:ascii="Calibri" w:hAnsi="Calibri" w:cs="Calibri"/>
            <w:color w:val="000000"/>
            <w:sz w:val="22"/>
          </w:rPr>
          <w:t xml:space="preserve">;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sz w:val="22"/>
          </w:rPr>
          <w:t xml:space="preserve">Rashodi za usluge </w:t>
        </w:r>
        <w:r>
          <w:rPr>
            <w:rFonts w:ascii="Calibri" w:hAnsi="Calibri" w:cs="Calibri"/>
            <w:sz w:val="22"/>
          </w:rPr>
          <w:t xml:space="preserve">povećavaju
se za iznos od 47.000,00 eura na stavci Intelektualne i osobne usluge zbog
povećanja cijene usluga procjene vrijednosti trgovačkih društava, te na stavci Računalne usluge zbog održavanja novog programa za urudžbeni zapisnik.</w:t>
        </w:r>
      </w:p>
      <w:p>
        <w:pPr>
          <w:spacing w:line="240"/>
          <w:jc w:val="both"/>
        </w:pPr>
        <w:r>
          <w:rPr>
            <w:rFonts w:ascii="Calibri" w:hAnsi="Calibri" w:cs="Calibri"/>
            <w:sz w:val="22"/>
          </w:rPr>
          <w:t xml:space="preserve"> 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RASHODI ZA NABAVU
NEFINANCIJSKE IMOVINE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
za 2023. godinu planirao rashode za nabavu nefinancijske imovine u iznosu od 216.400,00
eura te se ne predlaže izmjena planiranog iznosa ni preraspodjela.</w:t>
        </w:r>
      </w:p>
      <w:p>
        <w:pPr>
          <w:spacing w:line="240"/>
          <w:jc w:val="left"/>
        </w:pPr>
        <w:r>
          <w:rPr>
            <w:b/>
            <w:u w:val="single"/>
            <w:sz w:val="22"/>
            <w:rFonts w:ascii="Calibri" w:hAnsi="Calibri" w:cs="Calibri"/>
          </w:rPr>
          <w:br/>
          <w:t xml:space="preserve">UKUPNI VIŠAK/MANJAK</w:t>
        </w:r>
      </w:p>
      <w:tbl>
        <w:tblPr>
          <w:tblW w:w="4850" w:type="pct"/>
          <w:tblBorders>
            <w:top w:val="single" w:sz="5"/>
            <w:bottom w:val="single" w:sz="5"/>
            <w:left w:val="single" w:sz="5"/>
            <w:right w:val="single" w:sz="5"/>
            <w:insideH w:val="single" w:sz="5"/>
            <w:insideV w:val="single" w:sz="5"/>
          </w:tblBorders>
          <w:tblCellMar>
            <w:top w:w="0" w:type="dxa"/>
            <w:start w:w="100" w:type="dxa"/>
            <w:bottom w:w="0" w:type="dxa"/>
            <w:end w:w="100" w:type="dxa"/>
          </w:tblCellMar>
        </w:tblPr>
        <w:tr>
          <w:tc>
            <w:tcPr>
              <w:tcW w:w="20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/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Plan za 2023.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Povećanje/</w:t>
                <w:br/>
                <w:t>Smanjenje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Novi plan za</w:t>
                <w:br/>
                <w:t>2023.</w:t>
              </w:r>
            </w:p>
          </w:tc>
          <w:tc>
            <w:tcPr>
              <w:tcW w:w="4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Indeks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UKUPNI PRIHODI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5.671.975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1.000.000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6.671.975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117,6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UKUPNI RASHODI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8.577.275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49.000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8.626.275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100,6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b/>
                  <w:sz w:val="18"/>
                  <w:rFonts w:ascii="Calibri" w:hAnsi="Calibri" w:cs="Calibri"/>
                </w:rPr>
                <w:t>RAZLIKA - VIŠAK/MANJAK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-2.905.300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951.000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-1.954.300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67,3</w:t>
              </w:r>
            </w:p>
          </w:tc>
        </w:tr>
      </w:tbl>
      <w:p>
        <w:pPr>
          <w:spacing w:after="0" w:line="240"/>
        </w:pP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
za 2023. godinu planirao manjak ukupnih prihoda nad ukupnim rashodima u iznosu
od 2.905.300,00 eura, a ovim Izmjenama i dopunama financijskog plana
CERP-a isti se smanjuje za iznos od 951.000,00 eura.</w:t>
        </w:r>
      </w:p>
      <w:p>
        <w:pPr>
          <w:spacing w:line="240"/>
          <w:jc w:val="left"/>
        </w:pPr>
        <w:r>
          <w:rPr>
            <w:b/>
            <w:u w:val="single"/>
            <w:sz w:val="22"/>
            <w:rFonts w:ascii="Calibri" w:hAnsi="Calibri" w:cs="Calibri"/>
          </w:rPr>
          <w:br/>
          <w:t xml:space="preserve">RAČUN FINANCIRANJA</w:t>
        </w:r>
      </w:p>
      <w:tbl>
        <w:tblPr>
          <w:tblW w:w="4850" w:type="pct"/>
          <w:tblBorders>
            <w:top w:val="single" w:sz="5"/>
            <w:bottom w:val="single" w:sz="5"/>
            <w:left w:val="single" w:sz="5"/>
            <w:right w:val="single" w:sz="5"/>
            <w:insideH w:val="single" w:sz="5"/>
            <w:insideV w:val="single" w:sz="5"/>
          </w:tblBorders>
          <w:tblCellMar>
            <w:top w:w="0" w:type="dxa"/>
            <w:start w:w="100" w:type="dxa"/>
            <w:bottom w:w="0" w:type="dxa"/>
            <w:end w:w="100" w:type="dxa"/>
          </w:tblCellMar>
        </w:tblPr>
        <w:tr>
          <w:tc>
            <w:tcPr>
              <w:tcW w:w="20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/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Plan za 2023.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Povećanje/</w:t>
                <w:br/>
                <w:t>Smanjenje</w:t>
              </w:r>
            </w:p>
          </w:tc>
          <w:tc>
            <w:tcPr>
              <w:tcW w:w="8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Novi plan za</w:t>
                <w:br/>
                <w:t>2023.</w:t>
              </w:r>
            </w:p>
          </w:tc>
          <w:tc>
            <w:tcPr>
              <w:tcW w:w="400" w:type="pct"/>
              <w:vAlign w:val="center"/>
              <w:shd w:val="clear" w:color="auto" w:fill="#bcdffb"/>
            </w:tcPr>
            <w:p>
              <w:pPr>
                <w:spacing w:after="0" w:line="240"/>
                <w:jc w:val="center"/>
              </w:pPr>
              <w:r>
                <w:rPr>
                  <w:b/>
                  <w:sz w:val="18"/>
                  <w:rFonts w:ascii="Calibri" w:hAnsi="Calibri" w:cs="Calibri"/>
                </w:rPr>
                <w:t>Indeks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PRIMICI OD FINANCIJSKE IMOVINE I ZADUŽIVANJA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2.562.700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1.000.000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3.562.700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139,0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IZDACI ZA FINANCIJSKU IMOVINU I OTPLATE ZAJMOVA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/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PRIJENOS SREDSTAVA IZ PRETHODNE GODINE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31.042.724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31.042.724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100,0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sz w:val="18"/>
                  <w:rFonts w:ascii="Calibri" w:hAnsi="Calibri" w:cs="Calibri"/>
                </w:rPr>
                <w:t>PRIJENOS SREDSTAVA U SLJEDEĆU GODINU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-30.700.124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-1.951.000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-32.651.124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sz w:val="18"/>
                  <w:rFonts w:ascii="Calibri" w:hAnsi="Calibri" w:cs="Calibri"/>
                </w:rPr>
                <w:t>106,4</w:t>
              </w:r>
            </w:p>
          </w:tc>
        </w:tr>
        <w:tr>
          <w:tc>
            <w:tcPr>
              <w:tcW w:w="2000" w:type="pct"/>
              <w:vAlign w:val="bottom"/>
            </w:tcPr>
            <w:p>
              <w:pPr>
                <w:spacing w:after="0" w:line="240"/>
                <w:jc w:val="left"/>
              </w:pPr>
              <w:r>
                <w:rPr>
                  <w:b/>
                  <w:sz w:val="18"/>
                  <w:rFonts w:ascii="Calibri" w:hAnsi="Calibri" w:cs="Calibri"/>
                </w:rPr>
                <w:t>NETO FINANCIRANJE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2.905.300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-951.000</w:t>
              </w:r>
            </w:p>
          </w:tc>
          <w:tc>
            <w:tcPr>
              <w:tcW w:w="8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1.954.300</w:t>
              </w:r>
            </w:p>
          </w:tc>
          <w:tc>
            <w:tcPr>
              <w:tcW w:w="400" w:type="pct"/>
              <w:vAlign w:val="bottom"/>
            </w:tcPr>
            <w:p>
              <w:pPr>
                <w:spacing w:after="0" w:line="240"/>
                <w:jc w:val="right"/>
              </w:pPr>
              <w:r>
                <w:rPr>
                  <w:b/>
                  <w:sz w:val="18"/>
                  <w:rFonts w:ascii="Calibri" w:hAnsi="Calibri" w:cs="Calibri"/>
                </w:rPr>
                <w:t>67,3</w:t>
              </w:r>
            </w:p>
          </w:tc>
        </w:tr>
      </w:tbl>
      <w:p>
        <w:pPr>
          <w:spacing w:after="0" w:line="240"/>
        </w:pP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PRIMICI OD
FINANCIJSKE IMOVINE I ZADUŽIVANJA 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CERP je za 2023. godinu planirao primitke od financijske
imovine i zaduživanja u iznosu od 2.562.700,00 eura te se predlaže povećanje
planiranih primitaka od financijske imovine i zaduživanja kako slijedi: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Primici od prodaje dionica i udjela u
glavnici trgovačkih društava izvan javnog sektora </w:t>
        </w:r>
        <w:r>
          <w:rPr>
            <w:rFonts w:ascii="Calibri" w:hAnsi="Calibri" w:cs="Calibri"/>
            <w:color w:val="000000"/>
            <w:sz w:val="22"/>
          </w:rPr>
          <w:t xml:space="preserve">povećavaju se za iznos od 1.000.000,00 eura iz razloga što je
CERP </w:t>
        </w:r>
        <w:r>
          <w:rPr>
            <w:rFonts w:ascii="Calibri" w:hAnsi="Calibri" w:cs="Calibri"/>
            <w:sz w:val="22"/>
          </w:rPr>
          <w:t xml:space="preserve">u prvih osam mjeseci 2023. godine ostvario veće primitke od prodaje
dionica u vlasništvu CERP-a od planiranih</w:t>
        </w:r>
        <w:r>
          <w:rPr>
            <w:rFonts w:ascii="Calibri" w:hAnsi="Calibri" w:cs="Calibri"/>
            <w:color w:val="000000"/>
            <w:sz w:val="22"/>
          </w:rPr>
          <w:t xml:space="preserve">. 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 </w:t>
        </w:r>
      </w:p>
      <w:p>
        <w:pPr>
          <w:spacing w:line="240"/>
          <w:jc w:val="both"/>
        </w:pPr>
        <w:r>
          <w:rPr>
            <w:rFonts w:ascii="Calibri" w:hAnsi="Calibri" w:cs="Calibri"/>
            <w:b/>
            <w:color w:val="000000"/>
            <w:sz w:val="22"/>
          </w:rPr>
          <w:t xml:space="preserve">PRIJENOSI
SREDSTAVA</w:t>
        </w:r>
      </w:p>
      <w:p>
        <w:pPr>
          <w:spacing w:line="240"/>
          <w:jc w:val="both"/>
        </w:pPr>
        <w:r>
          <w:rPr>
            <w:rFonts w:ascii="Calibri" w:hAnsi="Calibri" w:cs="Calibri"/>
            <w:color w:val="000000"/>
            <w:sz w:val="22"/>
          </w:rPr>
          <w:t xml:space="preserve">Planirani
prijenos sredstava u sljedeću godinu povećava se za iznos od 1.951.000,00 eura
na iznos od 32.651.124,00 eura, a navedeno povećanje rezultat je ostvarenih primitaka
od prodaje dionica i poslovnih udjela u vlasništvu CERP-a te naplaćene
dividende od </w:t>
        </w:r>
        <w:r>
          <w:rPr>
            <w:rFonts w:ascii="Calibri" w:hAnsi="Calibri" w:cs="Calibri"/>
            <w:sz w:val="22"/>
          </w:rPr>
          <w:t xml:space="preserve">društava u vlasništvu </w:t>
        </w:r>
        <w:r>
          <w:rPr>
            <w:rFonts w:ascii="Calibri" w:hAnsi="Calibri" w:cs="Calibri"/>
            <w:color w:val="000000"/>
            <w:sz w:val="22"/>
          </w:rPr>
          <w:t xml:space="preserve">CERP-a, a
isti će se koristiti za podmirenje tekućih obveza CERP-a.</w:t>
        </w:r>
      </w:p>
    </w:sectPr>
  </w:body>
</w:document>
</file>

<file path=word/footer1.xml><?xml version="1.0" encoding="utf-8"?>
<w:ftr xmlns:w="http://schemas.openxmlformats.org/wordprocessingml/2006/main"/>
</file>

<file path=word/footer2.xml><?xml version="1.0" encoding="utf-8"?>
<w:ftr xmlns:w="http://schemas.openxmlformats.org/wordprocessingml/2006/main">
  <w:p>
    <w:pPr>
      <w:pStyle w:val="Footer"/>
      <w:jc w:val="right"/>
    </w:pPr>
    <w:r>
      <w:fldSimple w:instr="Page"/>
    </w:r>
  </w:p>
</w:ftr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/word/footer1.xml" Id="r97" /><Relationship Type="http://schemas.openxmlformats.org/officeDocument/2006/relationships/footer" Target="/word/footer2.xml" Id="r98" /></Relationships>
</file>